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Unfortunately, and regrettably, no official minutes were taken due to the nature of the situation. Regardless, this was a shortcoming on my part, but I can summarize what happened during the meeting.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were 18 in attendance, all exec, and the rest voting members.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talked about the Exec COVID-19 Statement.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passed a bylaw amendment for the endowment committee saying we would write a resolution reaffirming its purpose every year in October.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Candidates Meeting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0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Canceling 3/11 meeting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0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Having 3/15 meeting over Blue Jeans at 7:00pm EST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Candidates Forum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0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Will get questions from the general body to pose to candidates. Will require written answers by 3/20 (the original forum date). Answers will be posted on the LSASG website and social media.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Video answers are optional for those running for representatives and will also be posted onto the LSASG website and social media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Video answers will be mandatory for those running on the presidential ticket and will also be posted onto the LSASG website and social media.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The Michigan Daily will be contacted to see an article can be written specifically about the presidential tickets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-Allocate money to market election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General Attendance Requirement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00" w:before="20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This requirement will be waived for all running in the elections unless there are online meetings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Presidential Debate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0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The candidates' forum and Michigan Daily article (tentative) will replace the presidential debate.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Ask both candidate tickets if they are comfortable having a physical executive debate, if not then Michigan Daily article.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Many of these things changed due to the ever-evolving situation.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(This information per Nicolas Pereira on 4/6/2020)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